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华文中宋" w:eastAsia="华文中宋"/>
          <w:b/>
          <w:bCs/>
          <w:spacing w:val="23"/>
          <w:sz w:val="44"/>
        </w:rPr>
      </w:pPr>
      <w:r>
        <w:rPr>
          <w:rFonts w:hint="eastAsia" w:ascii="华文中宋" w:hAnsi="华文中宋" w:eastAsia="华文中宋"/>
          <w:b/>
          <w:bCs/>
          <w:spacing w:val="23"/>
          <w:sz w:val="44"/>
        </w:rPr>
        <w:t>璟泉私募基金管理（北京）有限公司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社会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招</w:t>
      </w:r>
      <w:bookmarkStart w:id="14" w:name="_GoBack"/>
      <w:bookmarkEnd w:id="14"/>
      <w:r>
        <w:rPr>
          <w:rFonts w:hint="eastAsia" w:ascii="华文中宋" w:hAnsi="华文中宋" w:eastAsia="华文中宋"/>
          <w:b/>
          <w:bCs/>
          <w:spacing w:val="60"/>
          <w:sz w:val="44"/>
        </w:rPr>
        <w:t>聘</w:t>
      </w: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674C87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6E71C53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7E658A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BA22E2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sunqy</cp:lastModifiedBy>
  <cp:lastPrinted>2019-06-26T06:32:00Z</cp:lastPrinted>
  <dcterms:modified xsi:type="dcterms:W3CDTF">2023-09-01T09:20:29Z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